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outlineLvl w:val="0"/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</w:rPr>
      </w:pPr>
      <w:r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  <w:lang w:eastAsia="zh-CN"/>
        </w:rPr>
        <w:t>长沙市岳麓区</w:t>
      </w:r>
      <w:r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</w:rPr>
        <w:t>0</w:t>
      </w:r>
      <w:r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  <w:lang w:val="en-US" w:eastAsia="zh-CN"/>
        </w:rPr>
        <w:t>24</w:t>
      </w:r>
      <w:r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</w:rPr>
        <w:t>年国民经济和社会发展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outlineLvl w:val="0"/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</w:rPr>
      </w:pPr>
      <w:r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</w:rPr>
        <w:t>统</w:t>
      </w:r>
      <w:r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</w:rPr>
        <w:t>计</w:t>
      </w:r>
      <w:r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</w:rPr>
        <w:t>公</w:t>
      </w:r>
      <w:r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FZXiaoBiaoSong-B05S" w:cs="FZXiaoBiaoSong-B05S"/>
          <w:b w:val="0"/>
          <w:bCs/>
          <w:color w:val="auto"/>
          <w:spacing w:val="0"/>
          <w:kern w:val="0"/>
          <w:sz w:val="44"/>
          <w:szCs w:val="44"/>
          <w:highlight w:val="none"/>
        </w:rPr>
        <w:t>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/>
          <w:color w:val="auto"/>
          <w:spacing w:val="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Times New Roman" w:hAnsi="Times New Roman" w:eastAsia="KaiTi" w:cs="KaiTi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KaiTi" w:cs="KaiTi"/>
          <w:bCs/>
          <w:color w:val="auto"/>
          <w:kern w:val="0"/>
          <w:sz w:val="32"/>
          <w:szCs w:val="32"/>
          <w:highlight w:val="none"/>
          <w:lang w:val="en-US" w:eastAsia="zh-CN"/>
        </w:rPr>
        <w:t>湖南湘江新区经济发展局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rPr>
          <w:rFonts w:hint="eastAsia" w:ascii="Times New Roman" w:hAnsi="Times New Roman" w:eastAsia="KaiTi" w:cs="KaiTi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eastAsia="KaiTi" w:cs="KaiTi"/>
          <w:bCs/>
          <w:color w:val="auto"/>
          <w:kern w:val="0"/>
          <w:sz w:val="32"/>
          <w:szCs w:val="32"/>
          <w:highlight w:val="none"/>
          <w:lang w:val="en-US" w:eastAsia="zh-CN"/>
        </w:rPr>
        <w:t>202</w:t>
      </w:r>
      <w:r>
        <w:rPr>
          <w:rFonts w:hint="eastAsia" w:eastAsia="KaiTi" w:cs="KaiTi"/>
          <w:bCs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Times New Roman" w:hAnsi="Times New Roman" w:eastAsia="KaiTi" w:cs="KaiTi"/>
          <w:bCs/>
          <w:color w:val="auto"/>
          <w:kern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eastAsia="KaiTi" w:cs="KaiTi"/>
          <w:bCs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Times New Roman" w:hAnsi="Times New Roman" w:eastAsia="KaiTi" w:cs="KaiTi"/>
          <w:bCs/>
          <w:color w:val="auto"/>
          <w:kern w:val="0"/>
          <w:sz w:val="32"/>
          <w:szCs w:val="32"/>
          <w:highlight w:val="none"/>
          <w:lang w:val="en-US" w:eastAsia="zh-CN"/>
        </w:rPr>
        <w:t>月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default" w:ascii="Times New Roman" w:hAnsi="Times New Roman"/>
          <w:color w:val="auto"/>
          <w:spacing w:val="0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2024年</w:t>
      </w:r>
      <w:r>
        <w:rPr>
          <w:rFonts w:hint="eastAsia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全区始终坚持以习近平新时代中国特色社会主义思想为指导，全面贯彻落实党的二十届三中全会精神，按照中央、省、市决策部署，锚定“三高四新”美好蓝图，聚焦“四个新区”建设，</w:t>
      </w:r>
      <w:r>
        <w:rPr>
          <w:rFonts w:hint="eastAsia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全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区经济运行总体平稳、稳中向好、稳中有进，高质量发展扎实推进。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  <w:t>一、综合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初步核算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，全年地区生产总值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21436744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万元，按不变价格计算，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比上年增长5.6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%。其中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第一产业增加值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112213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增长4.1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%；第二产业增加值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6548717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万元，增长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8.2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%；第三产业增加值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14775814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万元，增长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4.4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第一产业增加值占地区生产总值的比重为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0.6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%，第二产业增加值比重为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30.5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%，第三产业增加值比重为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68.9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%。第一、二、三产业分别拉动地区生产总值0.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2.5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3.1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个百分点，三次产业对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经济增长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的贡献率分别为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0.4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%、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45.0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%、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54.6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年末常住总人口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169.30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万人，比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上年末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增加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2.79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万人，其中城镇常住人口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160.21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万人，占总人口比重（常住人口城镇化率）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为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94.6%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。年末公安户籍总人口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992973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人，比上年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末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增加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19834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人，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户籍人口城镇化率为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87.6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%。按性别分，男性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476326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人，女性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516647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人；按年龄结构分0-17岁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242738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人，18-34岁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186541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，35-59岁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399268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人，60岁及以上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164426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人。全年人口出生率为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10.27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‰，死亡率为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5.20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‰，自然增长率为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5.07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岳麓区区级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地方一般公共预算收入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107.52亿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按同口径计算（剔除留抵退税等特殊因素后计算），比上年增长6.9%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，其中，税收收入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66.76亿元，非税收入40.76亿元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topLinePunct w:val="0"/>
        <w:bidi w:val="0"/>
        <w:adjustRightInd/>
        <w:snapToGrid/>
        <w:spacing w:before="0" w:beforeAutospacing="0" w:after="0" w:afterAutospacing="0" w:line="579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完成省市重点民生实事项目*19件35项，涵盖医疗卫生、社会保障、人居环境、乡村振兴、教育、养老、就业等方面。</w:t>
      </w:r>
    </w:p>
    <w:p>
      <w:pPr>
        <w:keepNext w:val="0"/>
        <w:keepLines w:val="0"/>
        <w:pageBreakBefore w:val="0"/>
        <w:widowControl w:val="0"/>
        <w:kinsoku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  <w:t>二、农业</w:t>
      </w:r>
    </w:p>
    <w:p>
      <w:pPr>
        <w:keepNext w:val="0"/>
        <w:keepLines w:val="0"/>
        <w:pageBreakBefore w:val="0"/>
        <w:widowControl w:val="0"/>
        <w:kinsoku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全年农林牧渔业总产值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170850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比上年增长4.2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%。其中农业产值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134977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增长4.6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%；林业产值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3408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万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增长6.2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%；畜牧业产值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11218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下降2.0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%；渔业产值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13448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增长5.2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%；农林牧渔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专业及辅助性活动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产值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7799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增长5.0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%。全年粮食总产量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45800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吨，出栏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生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猪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1.78万头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家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禽出笼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41.62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万羽，水产品产量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6698.5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吨。</w:t>
      </w:r>
    </w:p>
    <w:p>
      <w:pPr>
        <w:keepNext w:val="0"/>
        <w:keepLines w:val="0"/>
        <w:pageBreakBefore w:val="0"/>
        <w:widowControl w:val="0"/>
        <w:kinsoku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  <w:t>三、工业和建筑业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全年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全部工业增加值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4835387万元，比上年增长10.2%，其中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规模以上工业增加值增长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10.4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0" w:firstLineChars="0"/>
        <w:jc w:val="center"/>
        <w:textAlignment w:val="auto"/>
        <w:rPr>
          <w:rFonts w:hint="default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  <w:t>图1  2020-2024年规模以上工业增加值增长速度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color w:val="auto"/>
          <w:highlight w:val="none"/>
        </w:rPr>
        <w:drawing>
          <wp:inline distT="0" distB="0" distL="114300" distR="114300">
            <wp:extent cx="5247640" cy="3048635"/>
            <wp:effectExtent l="0" t="0" r="10160" b="1841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全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年建筑业增加值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1724687万元，比上年增长3.8%。资质以上总承包和专业承包建筑企业141家，完成建筑业总产值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8430087万元，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增长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7.9%；房屋建筑施工面积3718.71万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平方米，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下降10.0%；房屋建筑竣工面积648.83万平方米，下降38.4%。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  <w:lang w:eastAsia="zh-CN"/>
        </w:rPr>
        <w:t>服务业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全年批发和零售业增加值2052431万元，比上年增长5.0%；交通运输、仓储和邮政业增加值575614万元，增长3.6%；住宿和餐饮业增加值830514万元，增长6.7%；金融业增加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值1839570万元，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增长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2.1%；房地产业增加值1966285万元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，增长</w:t>
      </w:r>
      <w:r>
        <w:rPr>
          <w:rFonts w:hint="eastAsia" w:ascii="Times New Roman" w:hAnsi="Times New Roman" w:eastAsia="方正仿宋_GBK" w:cs="方正仿宋_GBK"/>
          <w:color w:val="auto"/>
          <w:spacing w:val="-17"/>
          <w:kern w:val="0"/>
          <w:sz w:val="32"/>
          <w:szCs w:val="32"/>
          <w:highlight w:val="none"/>
          <w:lang w:val="en-US" w:eastAsia="zh-CN"/>
        </w:rPr>
        <w:t>0.1%；信息传输、软件和信息技术服务业增加值1626762万元，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增长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7.7%；租赁和商务服务业增加值885577万元，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增长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8.8%；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科学研究和技术服务业增加值1314332万元，增长5.8%；居民服务、修理和其他服务业增加值349303万元，增长1.7%；文化、体育和娱乐业增加值314647万元，增长1.9%；非营利性服务业增加值3004871万元，增长4.7%。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五、</w:t>
      </w: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  <w:t>固定资产投资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  <w:t>全年固定资产投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资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（不含农户）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比上年增长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0.7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eastAsia="zh-CN"/>
        </w:rPr>
        <w:t>。分经济类型看，国有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控股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eastAsia="zh-CN"/>
        </w:rPr>
        <w:t>投资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下降2.0%，民间投资增长6.5%。分投资方向看，高技术产业投资增长24.3%，民生工程投资增长11.0%，工业投资增长8.7%，产业投资增长4.5%。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0" w:firstLineChars="0"/>
        <w:jc w:val="center"/>
        <w:textAlignment w:val="auto"/>
        <w:outlineLvl w:val="0"/>
        <w:rPr>
          <w:rFonts w:hint="eastAsia" w:ascii="Times New Roman" w:hAnsi="Times New Roman" w:eastAsia="方正仿宋_GBK" w:cs="方正仿宋_GBK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  <w:t>图2  2020-2024年固定资产投资增长速度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0"/>
        <w:rPr>
          <w:rFonts w:hint="eastAsia" w:ascii="Times New Roman" w:hAnsi="Times New Roman" w:eastAsia="方正仿宋_GBK" w:cs="方正仿宋_GBK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color w:val="auto"/>
          <w:highlight w:val="none"/>
        </w:rPr>
        <w:drawing>
          <wp:inline distT="0" distB="0" distL="114300" distR="114300">
            <wp:extent cx="5247640" cy="3048635"/>
            <wp:effectExtent l="0" t="0" r="10160" b="18415"/>
            <wp:docPr id="5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  <w:t>全年房地产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开发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  <w:t>投资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4784895万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  <w:t>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比上年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下降1.6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  <w:t>%；商品房销售面积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303.22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  <w:t>万平方米，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1.6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  <w:t>%，其中住宅销售面</w:t>
      </w:r>
      <w:r>
        <w:rPr>
          <w:rFonts w:hint="eastAsia" w:ascii="Times New Roman" w:hAnsi="Times New Roman" w:eastAsia="方正仿宋_GBK" w:cs="方正仿宋_GBK"/>
          <w:bCs/>
          <w:color w:val="auto"/>
          <w:spacing w:val="-11"/>
          <w:kern w:val="0"/>
          <w:sz w:val="32"/>
          <w:szCs w:val="32"/>
          <w:highlight w:val="none"/>
        </w:rPr>
        <w:t>积为</w:t>
      </w:r>
      <w:r>
        <w:rPr>
          <w:rFonts w:hint="eastAsia" w:ascii="Times New Roman" w:hAnsi="Times New Roman" w:eastAsia="方正仿宋_GBK" w:cs="方正仿宋_GBK"/>
          <w:bCs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227.19</w:t>
      </w:r>
      <w:r>
        <w:rPr>
          <w:rFonts w:hint="eastAsia" w:ascii="Times New Roman" w:hAnsi="Times New Roman" w:eastAsia="方正仿宋_GBK" w:cs="方正仿宋_GBK"/>
          <w:bCs/>
          <w:color w:val="auto"/>
          <w:spacing w:val="-11"/>
          <w:kern w:val="0"/>
          <w:sz w:val="32"/>
          <w:szCs w:val="32"/>
          <w:highlight w:val="none"/>
        </w:rPr>
        <w:t>万平方米，</w:t>
      </w:r>
      <w:r>
        <w:rPr>
          <w:rFonts w:hint="eastAsia" w:ascii="Times New Roman" w:hAnsi="Times New Roman" w:eastAsia="方正仿宋_GBK" w:cs="方正仿宋_GBK"/>
          <w:bCs/>
          <w:color w:val="auto"/>
          <w:spacing w:val="-11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 w:cs="方正仿宋_GBK"/>
          <w:bCs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13.7</w:t>
      </w:r>
      <w:r>
        <w:rPr>
          <w:rFonts w:hint="eastAsia" w:ascii="Times New Roman" w:hAnsi="Times New Roman" w:eastAsia="方正仿宋_GBK" w:cs="方正仿宋_GBK"/>
          <w:bCs/>
          <w:color w:val="auto"/>
          <w:spacing w:val="-11"/>
          <w:kern w:val="0"/>
          <w:sz w:val="32"/>
          <w:szCs w:val="32"/>
          <w:highlight w:val="none"/>
        </w:rPr>
        <w:t>%；商品房销售额</w:t>
      </w:r>
      <w:r>
        <w:rPr>
          <w:rFonts w:hint="eastAsia" w:ascii="Times New Roman" w:hAnsi="Times New Roman" w:eastAsia="方正仿宋_GBK" w:cs="方正仿宋_GBK"/>
          <w:bCs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3544209</w:t>
      </w:r>
      <w:r>
        <w:rPr>
          <w:rFonts w:hint="eastAsia" w:ascii="Times New Roman" w:hAnsi="Times New Roman" w:eastAsia="方正仿宋_GBK" w:cs="方正仿宋_GBK"/>
          <w:bCs/>
          <w:color w:val="auto"/>
          <w:spacing w:val="-11"/>
          <w:kern w:val="0"/>
          <w:sz w:val="32"/>
          <w:szCs w:val="32"/>
          <w:highlight w:val="none"/>
        </w:rPr>
        <w:t>万元，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22.3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  <w:t>%，其中住宅销售额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2617572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  <w:t>万元，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34.4</w:t>
      </w: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  <w:t>%。</w:t>
      </w:r>
    </w:p>
    <w:p>
      <w:pPr>
        <w:keepNext w:val="0"/>
        <w:keepLines w:val="0"/>
        <w:pageBreakBefore w:val="0"/>
        <w:widowControl w:val="0"/>
        <w:kinsoku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六、</w:t>
      </w: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  <w:t>国内贸易</w:t>
      </w:r>
    </w:p>
    <w:p>
      <w:pPr>
        <w:keepNext w:val="0"/>
        <w:keepLines w:val="0"/>
        <w:pageBreakBefore w:val="0"/>
        <w:widowControl w:val="0"/>
        <w:kinsoku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bCs/>
          <w:color w:val="auto"/>
          <w:spacing w:val="0"/>
          <w:kern w:val="0"/>
          <w:sz w:val="32"/>
          <w:szCs w:val="32"/>
          <w:highlight w:val="none"/>
        </w:rPr>
        <w:t>全年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社会消费品零售总额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6958485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比上年增长3.9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%。按行业分，批发业实现零售额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469051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增长14.0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%；零售业实现零售额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5772448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万元，增长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2.9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%；住宿业实现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零售额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81438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万元，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下降1.0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%；餐饮业实现零售额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635548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4.7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  <w:t>图3  2020-2024年社会消费品零售总额增长速度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color w:val="auto"/>
          <w:highlight w:val="none"/>
        </w:rPr>
        <w:drawing>
          <wp:inline distT="0" distB="0" distL="114300" distR="114300">
            <wp:extent cx="5617845" cy="2919730"/>
            <wp:effectExtent l="0" t="0" r="1905" b="13970"/>
            <wp:docPr id="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79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七、</w:t>
      </w: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  <w:t>对外经济和旅游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</w:rPr>
        <w:t>全年进出口总额（海关口径）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62.5亿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</w:rPr>
        <w:t>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比上年增长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45.7%；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</w:rPr>
        <w:t>其中出口总额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52.6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</w:rPr>
        <w:t>亿元，进口总额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9.9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</w:rPr>
        <w:t>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全区接待国内外游客总人数3794.37万人次，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比上年增长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36.5%；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</w:rPr>
        <w:t>旅游总收入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422.48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</w:rPr>
        <w:t>亿元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eastAsia="zh-CN"/>
        </w:rPr>
        <w:t>，增长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35.0%。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highlight w:val="none"/>
          <w:lang w:val="en-US" w:eastAsia="zh-CN"/>
        </w:rPr>
        <w:t>年末有国家A级景区10个，其中，4A级及以上3个。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八、</w:t>
      </w: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  <w:t>教育和科学技术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firstLine="596" w:firstLineChars="200"/>
        <w:jc w:val="both"/>
        <w:textAlignment w:val="auto"/>
        <w:rPr>
          <w:rFonts w:hint="default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/>
        </w:rPr>
      </w:pPr>
      <w:r>
        <w:rPr>
          <w:rFonts w:hint="eastAsia" w:ascii="Times New Roman" w:hAnsi="Times New Roman" w:eastAsia="方正仿宋_GBK" w:cs="方正仿宋_GBK"/>
          <w:color w:val="auto"/>
          <w:spacing w:val="-11"/>
          <w:sz w:val="32"/>
          <w:szCs w:val="32"/>
          <w:highlight w:val="none"/>
          <w:lang w:val="en-US" w:eastAsia="zh-CN"/>
        </w:rPr>
        <w:t>全区共有区属公办中学32所，在校学生45996人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；小学93所，在校学生151658人。共有幼儿园295所，其中公办园138所，局属公办园129所，在园幼儿61620人。小学适龄儿童入学率100%，小学升初中入学率100%。全区共投入学生免费入学和资助经费26836.25万元，义务教育阶段享受免杂费入学学生399719人次，执行公办教育收费标准的享受“一费制”全免（含课本费、教辅资料费和作业本费）入学学生392425人次。全年共接收外来务工人员子女58929名，占全区中小学生人数的29.8%，补助农村经济困难寄宿学生生活费696人次。全年新改扩建19所中小学校，新建公办幼儿园10所，扩充公办学（园）位2.36万个，铺排183个中小学幼儿园提质改造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全区新增科技型中小企业176家，累计有科技型中小企业</w:t>
      </w:r>
      <w:r>
        <w:rPr>
          <w:rFonts w:hint="eastAsia" w:ascii="Times New Roman" w:hAnsi="Times New Roman" w:eastAsia="方正仿宋_GBK" w:cs="方正仿宋_GBK"/>
          <w:color w:val="auto"/>
          <w:spacing w:val="-11"/>
          <w:sz w:val="32"/>
          <w:szCs w:val="32"/>
          <w:highlight w:val="none"/>
          <w:lang w:val="en-US" w:eastAsia="zh-CN"/>
        </w:rPr>
        <w:t>2739家；新增高新技术企业193家，累计有高新技术企业2714家。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当年技术合同成交额226.71亿元，技术合同登记件数5798件。全年实现高新技术产业增加值529.95亿元。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有效发明专利拥有量（累计）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*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34998件，比上年增长12.5%；专利授权量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*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12539件，其中发明授权量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*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6728件。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50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九、</w:t>
      </w: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  <w:t>文化</w:t>
      </w: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  <w:lang w:eastAsia="zh-CN"/>
        </w:rPr>
        <w:t>、体育</w:t>
      </w: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  <w:t>和卫生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全区拥有群众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文艺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团体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327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个，文化馆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个（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含19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个分馆），公共图书馆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35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个（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含34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个分馆），博物馆（纪念馆）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个，街道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镇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文化站19个，社区（村）综合文化服务中心19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个。共有晨晚练点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123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处，智慧社区健身中心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67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个，乡镇全民健身中心11个，健身步道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条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室外运动场63个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。公共文化服务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不断完善，已建成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121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个市级标准化社区（村）综合文化服务中心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全区共有各类医疗卫生机构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1326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个，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比上年增长8.2%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，其中医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院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55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个，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eastAsia="zh-CN"/>
        </w:rPr>
        <w:t>妇幼保健院（所、站）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1个，专科疾病防治院（所、站）1个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，社区卫生服务中心（站）101个，村卫生室77个，诊所、卫生所、医务室573个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。卫生技术人员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24620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，其中执业医师和执业助理医师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10989人，注册护士12990人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。拥有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床位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数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15620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张，新增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221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十、</w:t>
      </w: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  <w:t>环境保护和安全生产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全区建成区绿地面积达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80.017平方公里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其中公园绿地37.564平方公里，全区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绿化覆盖率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达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50.2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全年空气质量优良率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*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80.3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%。湘江饮用水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水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源保护区水质稳定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达标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国省控断面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水质达标率100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adjustRightInd/>
        <w:snapToGrid/>
        <w:spacing w:line="579" w:lineRule="exact"/>
        <w:ind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全年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eastAsia="zh-CN"/>
        </w:rPr>
        <w:t>共发生安全生产事故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24起，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各类安全生产事故死亡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人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亿元GDP生产安全事故死亡人数为0.0103人。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发生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经营性道路交通事故12起，死亡12人。发生火灾事故662起，死亡0人。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十一、</w:t>
      </w: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  <w:t>交通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adjustRightInd/>
        <w:snapToGrid/>
        <w:spacing w:line="579" w:lineRule="exact"/>
        <w:ind w:firstLine="596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全区年末农村公路里程1517.88千米，已硬化里程1517.88千米。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其中国省道25.29千米;县道67.24千米;乡道114.77千米;村道1310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.59千米。共有农村公路桥梁181座，桥梁长度3925.22延米，</w:t>
      </w:r>
      <w:r>
        <w:rPr>
          <w:rFonts w:hint="eastAsia" w:ascii="Times New Roman" w:hAnsi="Times New Roman" w:eastAsia="方正仿宋_GBK" w:cs="方正仿宋_GBK"/>
          <w:color w:val="auto"/>
          <w:spacing w:val="-17"/>
          <w:kern w:val="0"/>
          <w:sz w:val="32"/>
          <w:szCs w:val="32"/>
          <w:highlight w:val="none"/>
          <w:lang w:val="en-US" w:eastAsia="zh-CN"/>
        </w:rPr>
        <w:t>其中大中桥26座，长度为1883.48延米;小桥155座，长度2041.74延米。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全区拥有客运站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个，其中一级客运站1个。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十二、</w:t>
      </w:r>
      <w:r>
        <w:rPr>
          <w:rFonts w:hint="eastAsia" w:ascii="Times New Roman" w:hAnsi="Times New Roman" w:eastAsia="SimHei" w:cs="SimHei"/>
          <w:bCs/>
          <w:color w:val="auto"/>
          <w:spacing w:val="0"/>
          <w:kern w:val="0"/>
          <w:sz w:val="32"/>
          <w:szCs w:val="32"/>
          <w:highlight w:val="none"/>
        </w:rPr>
        <w:t>人民生活和社会保障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全区城镇居民人均可支配收入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74269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比上年增长3.6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%。其中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工资性收入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45890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元，经营净收入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9483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元，财产净收入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6296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元，转移净收入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12600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元。城镇居民人均消费支出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54654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元，其中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食品烟酒消费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15162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元，衣着消费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2998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元，居住消费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8741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元，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生活用品及服务消费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3451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元，医疗保健消费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3733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元，交通通信消费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7330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元，教育文化娱乐服务消费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11857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元，其他用品和服务消费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1382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元。城镇居民人均自有现住房面积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平方米。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="596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u w:val="none"/>
          <w:lang w:val="en-US" w:eastAsia="zh-CN"/>
        </w:rPr>
        <w:t>全区共有养老机构22家，有床位数3917张，入住老人1855人；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其中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共有公办敬老院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家，有床位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782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张，入住老人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279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社区居家养老服务站点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133个。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全年发放城乡居民最低生活保障金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3372.14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万元，居民得到政府最低生活保障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58952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人次，其中城市居民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得到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最低生活保障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25607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人次，农村居民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得到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最低生活保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障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33345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人次。城市和农村低保对象月人均发放保障金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  <w:lang w:val="en-US" w:eastAsia="zh-CN"/>
        </w:rPr>
        <w:t>542.37</w:t>
      </w:r>
      <w:r>
        <w:rPr>
          <w:rFonts w:hint="eastAsia" w:ascii="Times New Roman" w:hAnsi="Times New Roman" w:eastAsia="方正仿宋_GBK" w:cs="方正仿宋_GBK"/>
          <w:color w:val="auto"/>
          <w:spacing w:val="-6"/>
          <w:kern w:val="0"/>
          <w:sz w:val="32"/>
          <w:szCs w:val="32"/>
          <w:highlight w:val="none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="596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全年城镇新增就业人员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28233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人，失业人员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eastAsia="zh-CN"/>
        </w:rPr>
        <w:t>实现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再就业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8941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人，就业困难人员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eastAsia="zh-CN"/>
        </w:rPr>
        <w:t>实现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就业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2562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人，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eastAsia="zh-CN"/>
        </w:rPr>
        <w:t>新增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农村劳动力转移就业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  <w:lang w:val="en-US" w:eastAsia="zh-CN"/>
        </w:rPr>
        <w:t>379</w:t>
      </w:r>
      <w:r>
        <w:rPr>
          <w:rFonts w:hint="eastAsia" w:ascii="Times New Roman" w:hAnsi="Times New Roman" w:eastAsia="方正仿宋_GBK" w:cs="方正仿宋_GBK"/>
          <w:color w:val="auto"/>
          <w:spacing w:val="-11"/>
          <w:kern w:val="0"/>
          <w:sz w:val="32"/>
          <w:szCs w:val="32"/>
          <w:highlight w:val="none"/>
        </w:rPr>
        <w:t>人；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年末城镇登记失业率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2.70%。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yellow"/>
          <w:u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全区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参加城镇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职工基本养老保险人数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*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33.9万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参加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城乡居民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基本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养老保险人数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*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18.69万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人。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基本医疗保险参保人数为91.16万人，其中城乡居民基本医疗保险参保人数为60.37万人，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城镇职工基本医疗保险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参保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人数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30.79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万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人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eastAsia="zh-CN"/>
        </w:rPr>
        <w:t>，基本医疗保险覆盖率达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95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.0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</w:rPr>
        <w:t>%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SimHei" w:cs="SimHei"/>
          <w:color w:val="auto"/>
          <w:spacing w:val="0"/>
          <w:kern w:val="0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SimHei" w:cs="SimHei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SimHei" w:cs="SimHei"/>
          <w:color w:val="auto"/>
          <w:spacing w:val="0"/>
          <w:kern w:val="0"/>
          <w:sz w:val="32"/>
          <w:szCs w:val="32"/>
          <w:highlight w:val="none"/>
          <w:lang w:eastAsia="zh-CN"/>
        </w:rPr>
        <w:t>说明</w:t>
      </w:r>
      <w:r>
        <w:rPr>
          <w:rFonts w:hint="eastAsia" w:ascii="Times New Roman" w:hAnsi="Times New Roman" w:eastAsia="SimHei" w:cs="SimHei"/>
          <w:color w:val="auto"/>
          <w:spacing w:val="0"/>
          <w:kern w:val="0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</w:rPr>
        <w:t>本公报数据为初步统计数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，部分数据因四舍五入的原因，存在与分项合计不等的情况。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地区生产总值、三次产业及相关行业增加值绝对数按现价计算，增长速度按不变价格计算。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3.根据第五次全国经济普查结果对社会消费品零售总额数据进行修订。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4.岳麓区区级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财政、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进出口总额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eastAsia="zh-CN"/>
        </w:rPr>
        <w:t>不含长沙高新区。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民生实事、专利拥有和授权、空气质量、城镇职工和城乡居民基本养老保险人数等标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*</w:t>
      </w: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数据</w:t>
      </w:r>
      <w:r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highlight w:val="none"/>
          <w:lang w:val="en-US" w:eastAsia="zh-CN"/>
        </w:rPr>
        <w:t>统计范围为湘江新区直属区（直管区、托管区，即24个街镇）。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5.</w:t>
      </w:r>
      <w:r>
        <w:rPr>
          <w:rFonts w:hint="eastAsia" w:eastAsia="方正仿宋_GBK" w:cs="方正仿宋_GBK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失业人员再就业人数、就业困难人员实现就业人数、高新技术产业增加值等指标因统计制度和口径调整等因素影响，数据产生变化，无法与上年同期计算增速。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SimHei" w:cs="SimHei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  <w:lang w:eastAsia="zh-CN"/>
        </w:rPr>
      </w:pPr>
      <w:r>
        <w:rPr>
          <w:rFonts w:hint="eastAsia" w:ascii="Times New Roman" w:hAnsi="Times New Roman" w:eastAsia="SimHei" w:cs="SimHei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  <w:t>资料来源：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/>
          <w:color w:val="auto"/>
          <w:spacing w:val="0"/>
          <w:highlight w:val="no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本公报中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户籍人口数据来自岳麓区公安分局；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财政数据来自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新区财政金融局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；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对外经济、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专利授权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数据来自新区商务和市场监管局；文化、体育、旅游数据来自新区宣传部；教育数据来自新区教育局；科学技术数据来自新区科技创新和产业促进局；卫生数据来自新区卫生健康局；环境保护数据来自新区农业农村和生态环境局；建成区绿地面积及绿化覆盖率来自新区行政执法局；安全生产数据来自新区应急管理局；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火灾数据来自岳麓区消防救援大队；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交通数据来自新区开发建设局；社会保障数据来自新区民政和社会保障局；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其他数据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主要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来自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新区经济发展局</w:t>
      </w:r>
      <w:r>
        <w:rPr>
          <w:rFonts w:hint="eastAsia" w:ascii="Times New Roman" w:hAnsi="Times New Roman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。</w:t>
      </w:r>
    </w:p>
    <w:sectPr>
      <w:headerReference r:id="rId3" w:type="default"/>
      <w:footerReference r:id="rId4" w:type="default"/>
      <w:pgSz w:w="11911" w:h="16838"/>
      <w:pgMar w:top="2098" w:right="1474" w:bottom="1984" w:left="1587" w:header="0" w:footer="1587" w:gutter="0"/>
      <w:pgNumType w:fmt="decimal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Sun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FZXiaoBiaoSong-B05S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Microsoft YaHe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Microsoft YaHe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SimSun" w:hAnsi="SimSun" w:eastAsia="SimSun" w:cs="SimSu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YWI5MDg1YmRmODQ1YzM0OGUxYTNmYzgxZWNiNjkifQ=="/>
    <w:docVar w:name="KSO_WPS_MARK_KEY" w:val="e45af096-3079-4410-9fd0-b2ec4e60ed2f"/>
  </w:docVars>
  <w:rsids>
    <w:rsidRoot w:val="00000000"/>
    <w:rsid w:val="005E7594"/>
    <w:rsid w:val="00713262"/>
    <w:rsid w:val="009276E1"/>
    <w:rsid w:val="009D3423"/>
    <w:rsid w:val="00B92550"/>
    <w:rsid w:val="00FE4037"/>
    <w:rsid w:val="012313A8"/>
    <w:rsid w:val="015B15DF"/>
    <w:rsid w:val="01646264"/>
    <w:rsid w:val="016E7394"/>
    <w:rsid w:val="018B7ACF"/>
    <w:rsid w:val="018C0878"/>
    <w:rsid w:val="01970BC3"/>
    <w:rsid w:val="01E5599D"/>
    <w:rsid w:val="02370CE4"/>
    <w:rsid w:val="023F0464"/>
    <w:rsid w:val="025F0F0E"/>
    <w:rsid w:val="02801DAF"/>
    <w:rsid w:val="02805954"/>
    <w:rsid w:val="02F254D6"/>
    <w:rsid w:val="039842CF"/>
    <w:rsid w:val="03D87A13"/>
    <w:rsid w:val="03E62701"/>
    <w:rsid w:val="03F73798"/>
    <w:rsid w:val="041871BE"/>
    <w:rsid w:val="0430275A"/>
    <w:rsid w:val="044A32F1"/>
    <w:rsid w:val="0463391E"/>
    <w:rsid w:val="05196970"/>
    <w:rsid w:val="05203B59"/>
    <w:rsid w:val="05861004"/>
    <w:rsid w:val="05AE4849"/>
    <w:rsid w:val="066B460A"/>
    <w:rsid w:val="066F3121"/>
    <w:rsid w:val="068B7802"/>
    <w:rsid w:val="06A16104"/>
    <w:rsid w:val="06D654F2"/>
    <w:rsid w:val="06DF3513"/>
    <w:rsid w:val="06E03DEF"/>
    <w:rsid w:val="07250CEB"/>
    <w:rsid w:val="072D508B"/>
    <w:rsid w:val="078057A6"/>
    <w:rsid w:val="079617E4"/>
    <w:rsid w:val="08251EAA"/>
    <w:rsid w:val="0828199A"/>
    <w:rsid w:val="08323F68"/>
    <w:rsid w:val="08403200"/>
    <w:rsid w:val="084560A8"/>
    <w:rsid w:val="087234FC"/>
    <w:rsid w:val="0880032B"/>
    <w:rsid w:val="08DF7A2B"/>
    <w:rsid w:val="09517A90"/>
    <w:rsid w:val="0992531D"/>
    <w:rsid w:val="099B68C7"/>
    <w:rsid w:val="09F24417"/>
    <w:rsid w:val="0AD33E3F"/>
    <w:rsid w:val="0AD35FF1"/>
    <w:rsid w:val="0B731858"/>
    <w:rsid w:val="0B8974FD"/>
    <w:rsid w:val="0B916453"/>
    <w:rsid w:val="0BA62EE7"/>
    <w:rsid w:val="0BC26890"/>
    <w:rsid w:val="0BD06280"/>
    <w:rsid w:val="0C8D1E95"/>
    <w:rsid w:val="0C915D60"/>
    <w:rsid w:val="0CEC15BC"/>
    <w:rsid w:val="0D211C6F"/>
    <w:rsid w:val="0D59622F"/>
    <w:rsid w:val="0E0E785B"/>
    <w:rsid w:val="0E3B2427"/>
    <w:rsid w:val="0E80692A"/>
    <w:rsid w:val="0F046ABD"/>
    <w:rsid w:val="0F3B1FA5"/>
    <w:rsid w:val="0F405A07"/>
    <w:rsid w:val="0F6B6D3C"/>
    <w:rsid w:val="0FB80A84"/>
    <w:rsid w:val="0FD50659"/>
    <w:rsid w:val="0FE4264A"/>
    <w:rsid w:val="100276CF"/>
    <w:rsid w:val="104D01F0"/>
    <w:rsid w:val="10F73A97"/>
    <w:rsid w:val="1156069B"/>
    <w:rsid w:val="11FC1ECD"/>
    <w:rsid w:val="12083201"/>
    <w:rsid w:val="124318AA"/>
    <w:rsid w:val="124670B3"/>
    <w:rsid w:val="1263506B"/>
    <w:rsid w:val="12A37452"/>
    <w:rsid w:val="12B965A6"/>
    <w:rsid w:val="12BC78AF"/>
    <w:rsid w:val="12F70F4E"/>
    <w:rsid w:val="144462AE"/>
    <w:rsid w:val="148A7D90"/>
    <w:rsid w:val="14931219"/>
    <w:rsid w:val="149C3BED"/>
    <w:rsid w:val="153D411F"/>
    <w:rsid w:val="16830683"/>
    <w:rsid w:val="16E9440E"/>
    <w:rsid w:val="178D23B1"/>
    <w:rsid w:val="17B5475B"/>
    <w:rsid w:val="17D60D7E"/>
    <w:rsid w:val="188744BB"/>
    <w:rsid w:val="188E3A9B"/>
    <w:rsid w:val="18A8386A"/>
    <w:rsid w:val="18BA4890"/>
    <w:rsid w:val="18BA7333"/>
    <w:rsid w:val="18DD40DB"/>
    <w:rsid w:val="193059E0"/>
    <w:rsid w:val="199576CF"/>
    <w:rsid w:val="19C201A3"/>
    <w:rsid w:val="1A954D84"/>
    <w:rsid w:val="1AA12BB8"/>
    <w:rsid w:val="1ABC10CE"/>
    <w:rsid w:val="1B5C1C2F"/>
    <w:rsid w:val="1B7156DA"/>
    <w:rsid w:val="1BB3623F"/>
    <w:rsid w:val="1BB93D73"/>
    <w:rsid w:val="1BCD54C9"/>
    <w:rsid w:val="1BD143CB"/>
    <w:rsid w:val="1BEA0AC8"/>
    <w:rsid w:val="1C306807"/>
    <w:rsid w:val="1C7D5549"/>
    <w:rsid w:val="1C9A47BD"/>
    <w:rsid w:val="1CE771DD"/>
    <w:rsid w:val="1CF34500"/>
    <w:rsid w:val="1D641885"/>
    <w:rsid w:val="1DD91315"/>
    <w:rsid w:val="1DE8281F"/>
    <w:rsid w:val="1DE85C6D"/>
    <w:rsid w:val="1E055424"/>
    <w:rsid w:val="1E114C23"/>
    <w:rsid w:val="1E2A7432"/>
    <w:rsid w:val="1E2C6297"/>
    <w:rsid w:val="1E663053"/>
    <w:rsid w:val="1F090697"/>
    <w:rsid w:val="1F394904"/>
    <w:rsid w:val="1F423E8E"/>
    <w:rsid w:val="1F707A57"/>
    <w:rsid w:val="1FB6285E"/>
    <w:rsid w:val="1FE04BDC"/>
    <w:rsid w:val="20202408"/>
    <w:rsid w:val="207730D7"/>
    <w:rsid w:val="207E61A3"/>
    <w:rsid w:val="208E02B7"/>
    <w:rsid w:val="20903577"/>
    <w:rsid w:val="20EF40AC"/>
    <w:rsid w:val="210963B5"/>
    <w:rsid w:val="2120368E"/>
    <w:rsid w:val="21815F4B"/>
    <w:rsid w:val="21B81A4B"/>
    <w:rsid w:val="22036BE1"/>
    <w:rsid w:val="224551CB"/>
    <w:rsid w:val="225D0723"/>
    <w:rsid w:val="22806203"/>
    <w:rsid w:val="229440FE"/>
    <w:rsid w:val="22A53EBB"/>
    <w:rsid w:val="23091036"/>
    <w:rsid w:val="235F406A"/>
    <w:rsid w:val="23637D7D"/>
    <w:rsid w:val="23AF407D"/>
    <w:rsid w:val="23D0028D"/>
    <w:rsid w:val="23D1216B"/>
    <w:rsid w:val="24080638"/>
    <w:rsid w:val="240D3609"/>
    <w:rsid w:val="248C1C53"/>
    <w:rsid w:val="24981900"/>
    <w:rsid w:val="260A6462"/>
    <w:rsid w:val="26771087"/>
    <w:rsid w:val="26825C32"/>
    <w:rsid w:val="2699427E"/>
    <w:rsid w:val="26EA6341"/>
    <w:rsid w:val="270B59D1"/>
    <w:rsid w:val="272A5521"/>
    <w:rsid w:val="273B1052"/>
    <w:rsid w:val="275049BA"/>
    <w:rsid w:val="27767F63"/>
    <w:rsid w:val="27A24E6D"/>
    <w:rsid w:val="27B65BE3"/>
    <w:rsid w:val="27B81B76"/>
    <w:rsid w:val="27F751B9"/>
    <w:rsid w:val="286C1564"/>
    <w:rsid w:val="28740721"/>
    <w:rsid w:val="28A16ED3"/>
    <w:rsid w:val="299F5C77"/>
    <w:rsid w:val="2A583F40"/>
    <w:rsid w:val="2ABA24CE"/>
    <w:rsid w:val="2ADE5530"/>
    <w:rsid w:val="2AE53B5D"/>
    <w:rsid w:val="2AE61515"/>
    <w:rsid w:val="2B062705"/>
    <w:rsid w:val="2B3171C9"/>
    <w:rsid w:val="2B3836F1"/>
    <w:rsid w:val="2B58110A"/>
    <w:rsid w:val="2B8A437E"/>
    <w:rsid w:val="2BD23755"/>
    <w:rsid w:val="2C1874AC"/>
    <w:rsid w:val="2C6556A5"/>
    <w:rsid w:val="2CAD2DF3"/>
    <w:rsid w:val="2CCC2D0F"/>
    <w:rsid w:val="2CCD3F5D"/>
    <w:rsid w:val="2CE83322"/>
    <w:rsid w:val="2D0363AE"/>
    <w:rsid w:val="2D6C6AFE"/>
    <w:rsid w:val="2D8F2515"/>
    <w:rsid w:val="2DBD655D"/>
    <w:rsid w:val="2DCA4383"/>
    <w:rsid w:val="2E444902"/>
    <w:rsid w:val="2E632C4D"/>
    <w:rsid w:val="2EBD268D"/>
    <w:rsid w:val="2EC67693"/>
    <w:rsid w:val="2EEB534C"/>
    <w:rsid w:val="2F032695"/>
    <w:rsid w:val="2F5373B0"/>
    <w:rsid w:val="2F7B26BB"/>
    <w:rsid w:val="2F805553"/>
    <w:rsid w:val="2FBC45F2"/>
    <w:rsid w:val="30274161"/>
    <w:rsid w:val="306A08F3"/>
    <w:rsid w:val="306C5409"/>
    <w:rsid w:val="30893C43"/>
    <w:rsid w:val="30B5373E"/>
    <w:rsid w:val="30B963BD"/>
    <w:rsid w:val="30F96657"/>
    <w:rsid w:val="31250C8F"/>
    <w:rsid w:val="31684A32"/>
    <w:rsid w:val="31904626"/>
    <w:rsid w:val="31921AAF"/>
    <w:rsid w:val="31BC4D7D"/>
    <w:rsid w:val="31D1584A"/>
    <w:rsid w:val="31EB5BCC"/>
    <w:rsid w:val="32382778"/>
    <w:rsid w:val="323A6E2B"/>
    <w:rsid w:val="323D6AD7"/>
    <w:rsid w:val="32414D00"/>
    <w:rsid w:val="324A7697"/>
    <w:rsid w:val="32577FC7"/>
    <w:rsid w:val="327411B4"/>
    <w:rsid w:val="32871542"/>
    <w:rsid w:val="32BC66F2"/>
    <w:rsid w:val="33977F06"/>
    <w:rsid w:val="33995376"/>
    <w:rsid w:val="33A361F5"/>
    <w:rsid w:val="33C85782"/>
    <w:rsid w:val="34711E4F"/>
    <w:rsid w:val="34A044E7"/>
    <w:rsid w:val="35E9495F"/>
    <w:rsid w:val="3656028D"/>
    <w:rsid w:val="369E6115"/>
    <w:rsid w:val="36A24542"/>
    <w:rsid w:val="36B77BF5"/>
    <w:rsid w:val="37C717A4"/>
    <w:rsid w:val="37FF2A64"/>
    <w:rsid w:val="3819279E"/>
    <w:rsid w:val="38561458"/>
    <w:rsid w:val="38C5062E"/>
    <w:rsid w:val="391F00CC"/>
    <w:rsid w:val="39851520"/>
    <w:rsid w:val="39D87B02"/>
    <w:rsid w:val="39F479AE"/>
    <w:rsid w:val="3A1C285D"/>
    <w:rsid w:val="3A4769D5"/>
    <w:rsid w:val="3AB25CF5"/>
    <w:rsid w:val="3AE625A0"/>
    <w:rsid w:val="3AFD4854"/>
    <w:rsid w:val="3B506C62"/>
    <w:rsid w:val="3B536B86"/>
    <w:rsid w:val="3B7F12F6"/>
    <w:rsid w:val="3BF252E5"/>
    <w:rsid w:val="3C5067EE"/>
    <w:rsid w:val="3C5207B8"/>
    <w:rsid w:val="3C8A6FE7"/>
    <w:rsid w:val="3C99235D"/>
    <w:rsid w:val="3CF41147"/>
    <w:rsid w:val="3D1E4B3E"/>
    <w:rsid w:val="3D7D4122"/>
    <w:rsid w:val="3DAF6BD1"/>
    <w:rsid w:val="3DD06639"/>
    <w:rsid w:val="3E5A26D2"/>
    <w:rsid w:val="3EE1082E"/>
    <w:rsid w:val="3EF02CC4"/>
    <w:rsid w:val="3EF50E21"/>
    <w:rsid w:val="3F6C1B91"/>
    <w:rsid w:val="3F710F55"/>
    <w:rsid w:val="3FE81550"/>
    <w:rsid w:val="41546D80"/>
    <w:rsid w:val="41C6001D"/>
    <w:rsid w:val="42364826"/>
    <w:rsid w:val="42733236"/>
    <w:rsid w:val="42C415F8"/>
    <w:rsid w:val="43406545"/>
    <w:rsid w:val="435A7F52"/>
    <w:rsid w:val="437C0A63"/>
    <w:rsid w:val="439047C4"/>
    <w:rsid w:val="43B0431A"/>
    <w:rsid w:val="43D31F8D"/>
    <w:rsid w:val="43F735BB"/>
    <w:rsid w:val="447A7C55"/>
    <w:rsid w:val="44AB6CB7"/>
    <w:rsid w:val="45124F88"/>
    <w:rsid w:val="451A3E3D"/>
    <w:rsid w:val="45605CF4"/>
    <w:rsid w:val="457A4B71"/>
    <w:rsid w:val="45BE0C6C"/>
    <w:rsid w:val="45D43FEC"/>
    <w:rsid w:val="45E83213"/>
    <w:rsid w:val="461E170B"/>
    <w:rsid w:val="4647134A"/>
    <w:rsid w:val="465515D1"/>
    <w:rsid w:val="46E42955"/>
    <w:rsid w:val="46E44703"/>
    <w:rsid w:val="47404880"/>
    <w:rsid w:val="480D7C89"/>
    <w:rsid w:val="48516B82"/>
    <w:rsid w:val="489376C9"/>
    <w:rsid w:val="48BC1E10"/>
    <w:rsid w:val="48C42A3E"/>
    <w:rsid w:val="48EA3B26"/>
    <w:rsid w:val="495A5CCD"/>
    <w:rsid w:val="49B70C42"/>
    <w:rsid w:val="49B81C16"/>
    <w:rsid w:val="4A0B376B"/>
    <w:rsid w:val="4A443E36"/>
    <w:rsid w:val="4A4620A6"/>
    <w:rsid w:val="4A6C0BFA"/>
    <w:rsid w:val="4A786097"/>
    <w:rsid w:val="4A7E2538"/>
    <w:rsid w:val="4ACA3627"/>
    <w:rsid w:val="4B2833A3"/>
    <w:rsid w:val="4B2A56AD"/>
    <w:rsid w:val="4BC412A0"/>
    <w:rsid w:val="4BFC1FC1"/>
    <w:rsid w:val="4C0D64AA"/>
    <w:rsid w:val="4C3009DD"/>
    <w:rsid w:val="4D333CEE"/>
    <w:rsid w:val="4DAA3552"/>
    <w:rsid w:val="4DF4347C"/>
    <w:rsid w:val="4E262A7D"/>
    <w:rsid w:val="4E594AB3"/>
    <w:rsid w:val="4E951742"/>
    <w:rsid w:val="4EC217CD"/>
    <w:rsid w:val="4EEE23C6"/>
    <w:rsid w:val="4F291DCE"/>
    <w:rsid w:val="4FCF3870"/>
    <w:rsid w:val="4FD46832"/>
    <w:rsid w:val="4FE65048"/>
    <w:rsid w:val="50A224C3"/>
    <w:rsid w:val="50D97229"/>
    <w:rsid w:val="514A58E6"/>
    <w:rsid w:val="515B7413"/>
    <w:rsid w:val="516B5167"/>
    <w:rsid w:val="519B42AD"/>
    <w:rsid w:val="5201633D"/>
    <w:rsid w:val="5252276D"/>
    <w:rsid w:val="52A17AAC"/>
    <w:rsid w:val="5302038E"/>
    <w:rsid w:val="530879CB"/>
    <w:rsid w:val="530D21E6"/>
    <w:rsid w:val="53194809"/>
    <w:rsid w:val="53373E0C"/>
    <w:rsid w:val="53830363"/>
    <w:rsid w:val="53B86E14"/>
    <w:rsid w:val="53E06252"/>
    <w:rsid w:val="54432CBF"/>
    <w:rsid w:val="548B202C"/>
    <w:rsid w:val="54A92AE8"/>
    <w:rsid w:val="54D2203E"/>
    <w:rsid w:val="54E25916"/>
    <w:rsid w:val="54E632EE"/>
    <w:rsid w:val="551F1D4C"/>
    <w:rsid w:val="5560588D"/>
    <w:rsid w:val="55B913DC"/>
    <w:rsid w:val="561031B1"/>
    <w:rsid w:val="563113AD"/>
    <w:rsid w:val="564A7C08"/>
    <w:rsid w:val="56590927"/>
    <w:rsid w:val="568501F3"/>
    <w:rsid w:val="56B22591"/>
    <w:rsid w:val="56BF474F"/>
    <w:rsid w:val="56EF6ED8"/>
    <w:rsid w:val="56F444EE"/>
    <w:rsid w:val="57516B45"/>
    <w:rsid w:val="58075C32"/>
    <w:rsid w:val="581638A7"/>
    <w:rsid w:val="583A23D4"/>
    <w:rsid w:val="587D4451"/>
    <w:rsid w:val="58D345D7"/>
    <w:rsid w:val="58F846B0"/>
    <w:rsid w:val="59783B4E"/>
    <w:rsid w:val="59A2070F"/>
    <w:rsid w:val="59AA2D00"/>
    <w:rsid w:val="59B73DFA"/>
    <w:rsid w:val="5A845536"/>
    <w:rsid w:val="5AB842EA"/>
    <w:rsid w:val="5B1435CD"/>
    <w:rsid w:val="5B472E3C"/>
    <w:rsid w:val="5B607090"/>
    <w:rsid w:val="5B784986"/>
    <w:rsid w:val="5B7E26BE"/>
    <w:rsid w:val="5B8B0260"/>
    <w:rsid w:val="5B915ED8"/>
    <w:rsid w:val="5BB73D3C"/>
    <w:rsid w:val="5C3D0389"/>
    <w:rsid w:val="5C3E7E3C"/>
    <w:rsid w:val="5CAF244F"/>
    <w:rsid w:val="5CC2436D"/>
    <w:rsid w:val="5D2C7C10"/>
    <w:rsid w:val="5D6B727C"/>
    <w:rsid w:val="5D941783"/>
    <w:rsid w:val="5E0D7E79"/>
    <w:rsid w:val="5EAB1177"/>
    <w:rsid w:val="5EB7471A"/>
    <w:rsid w:val="5EDA221B"/>
    <w:rsid w:val="5F6C3D73"/>
    <w:rsid w:val="607C0CBE"/>
    <w:rsid w:val="60E76E71"/>
    <w:rsid w:val="61750921"/>
    <w:rsid w:val="61B96379"/>
    <w:rsid w:val="61C13B66"/>
    <w:rsid w:val="61D5756E"/>
    <w:rsid w:val="625445D6"/>
    <w:rsid w:val="62F506C8"/>
    <w:rsid w:val="62F66CD2"/>
    <w:rsid w:val="6370314E"/>
    <w:rsid w:val="638F127E"/>
    <w:rsid w:val="63C95FE5"/>
    <w:rsid w:val="63F37BA1"/>
    <w:rsid w:val="63FF7796"/>
    <w:rsid w:val="643B6224"/>
    <w:rsid w:val="64973196"/>
    <w:rsid w:val="64C00311"/>
    <w:rsid w:val="64CA0F84"/>
    <w:rsid w:val="6522491C"/>
    <w:rsid w:val="65433D82"/>
    <w:rsid w:val="6584310B"/>
    <w:rsid w:val="65866706"/>
    <w:rsid w:val="658B7358"/>
    <w:rsid w:val="65901886"/>
    <w:rsid w:val="65D42400"/>
    <w:rsid w:val="65FA0FD6"/>
    <w:rsid w:val="662621EA"/>
    <w:rsid w:val="663E65EC"/>
    <w:rsid w:val="66B92AAE"/>
    <w:rsid w:val="66BE0674"/>
    <w:rsid w:val="67332E10"/>
    <w:rsid w:val="68664B20"/>
    <w:rsid w:val="687229D1"/>
    <w:rsid w:val="68975621"/>
    <w:rsid w:val="68AE5974"/>
    <w:rsid w:val="68C52743"/>
    <w:rsid w:val="68D91D93"/>
    <w:rsid w:val="69664B66"/>
    <w:rsid w:val="69AF4887"/>
    <w:rsid w:val="69B875FD"/>
    <w:rsid w:val="6A4B221F"/>
    <w:rsid w:val="6AB12F58"/>
    <w:rsid w:val="6AFA3317"/>
    <w:rsid w:val="6B2E5F58"/>
    <w:rsid w:val="6BC13FCB"/>
    <w:rsid w:val="6C0D106A"/>
    <w:rsid w:val="6C1F1BB5"/>
    <w:rsid w:val="6C300BEF"/>
    <w:rsid w:val="6C700663"/>
    <w:rsid w:val="6C704CF7"/>
    <w:rsid w:val="6C8651BC"/>
    <w:rsid w:val="6C904861"/>
    <w:rsid w:val="6CA60C58"/>
    <w:rsid w:val="6D7A7C88"/>
    <w:rsid w:val="6D847BD9"/>
    <w:rsid w:val="6DAD72E6"/>
    <w:rsid w:val="6DB81D80"/>
    <w:rsid w:val="6DBF311C"/>
    <w:rsid w:val="6DCC5D9C"/>
    <w:rsid w:val="6E9C7A6D"/>
    <w:rsid w:val="6EEB3FD1"/>
    <w:rsid w:val="6EFB452E"/>
    <w:rsid w:val="6F086931"/>
    <w:rsid w:val="6F5925E3"/>
    <w:rsid w:val="6FEF0A2F"/>
    <w:rsid w:val="70002AE5"/>
    <w:rsid w:val="702A4A6A"/>
    <w:rsid w:val="707C4E87"/>
    <w:rsid w:val="707F0E75"/>
    <w:rsid w:val="7088120F"/>
    <w:rsid w:val="71D5012A"/>
    <w:rsid w:val="72125484"/>
    <w:rsid w:val="72273A17"/>
    <w:rsid w:val="72C53BD5"/>
    <w:rsid w:val="72CE5483"/>
    <w:rsid w:val="732950C8"/>
    <w:rsid w:val="737A4969"/>
    <w:rsid w:val="737E0B7F"/>
    <w:rsid w:val="73C91CE0"/>
    <w:rsid w:val="73F13E37"/>
    <w:rsid w:val="7499373C"/>
    <w:rsid w:val="74A22A9C"/>
    <w:rsid w:val="74B51309"/>
    <w:rsid w:val="74E4574A"/>
    <w:rsid w:val="75153745"/>
    <w:rsid w:val="751748F2"/>
    <w:rsid w:val="75450C58"/>
    <w:rsid w:val="754C30C0"/>
    <w:rsid w:val="75695C4F"/>
    <w:rsid w:val="758E56B6"/>
    <w:rsid w:val="75A84B9C"/>
    <w:rsid w:val="75C800FC"/>
    <w:rsid w:val="76130720"/>
    <w:rsid w:val="762322A2"/>
    <w:rsid w:val="76D11CFE"/>
    <w:rsid w:val="76F5457A"/>
    <w:rsid w:val="77244524"/>
    <w:rsid w:val="774E76A8"/>
    <w:rsid w:val="77DE5238"/>
    <w:rsid w:val="77F6637B"/>
    <w:rsid w:val="78095FF5"/>
    <w:rsid w:val="783B1B25"/>
    <w:rsid w:val="78853BB7"/>
    <w:rsid w:val="789E20B4"/>
    <w:rsid w:val="78CA2EA9"/>
    <w:rsid w:val="79231B0D"/>
    <w:rsid w:val="79310C50"/>
    <w:rsid w:val="793424C4"/>
    <w:rsid w:val="797509D8"/>
    <w:rsid w:val="79E35BF1"/>
    <w:rsid w:val="7A396BC6"/>
    <w:rsid w:val="7A57076C"/>
    <w:rsid w:val="7A5E1AFB"/>
    <w:rsid w:val="7A985693"/>
    <w:rsid w:val="7AA66975"/>
    <w:rsid w:val="7AAB05B0"/>
    <w:rsid w:val="7AC35E02"/>
    <w:rsid w:val="7B4856E9"/>
    <w:rsid w:val="7B555533"/>
    <w:rsid w:val="7B5B0730"/>
    <w:rsid w:val="7B705796"/>
    <w:rsid w:val="7BA16E9B"/>
    <w:rsid w:val="7BA63759"/>
    <w:rsid w:val="7BD007D6"/>
    <w:rsid w:val="7C280A0E"/>
    <w:rsid w:val="7C2B44D0"/>
    <w:rsid w:val="7C2D64DE"/>
    <w:rsid w:val="7C2E374F"/>
    <w:rsid w:val="7C6C0EED"/>
    <w:rsid w:val="7CD64BE6"/>
    <w:rsid w:val="7CDE6F23"/>
    <w:rsid w:val="7D2B161E"/>
    <w:rsid w:val="7DBF4FA6"/>
    <w:rsid w:val="7E176499"/>
    <w:rsid w:val="7E350DC4"/>
    <w:rsid w:val="7F3D43D5"/>
    <w:rsid w:val="7F3E639F"/>
    <w:rsid w:val="7F805BDF"/>
    <w:rsid w:val="7FCE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SimSun" w:cs="SimSu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文字 + 首行缩进:  2 字符3"/>
    <w:basedOn w:val="1"/>
    <w:qFormat/>
    <w:uiPriority w:val="0"/>
    <w:pPr>
      <w:widowControl/>
      <w:spacing w:line="360" w:lineRule="auto"/>
      <w:jc w:val="left"/>
      <w:textAlignment w:val="baseline"/>
    </w:pPr>
    <w:rPr>
      <w:rFonts w:ascii="Times New Roman" w:hAnsi="Times New Roman" w:eastAsia="SimSun" w:cs="Times New Roman"/>
      <w:sz w:val="28"/>
      <w:szCs w:val="28"/>
    </w:r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">
    <w:name w:val="UserStyle_2"/>
    <w:basedOn w:val="1"/>
    <w:next w:val="1"/>
    <w:qFormat/>
    <w:uiPriority w:val="0"/>
    <w:pPr>
      <w:ind w:left="1680"/>
    </w:p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chart" Target="charts/chart3.xml"/><Relationship Id="rId7" Type="http://schemas.openxmlformats.org/officeDocument/2006/relationships/chart" Target="charts/chart2.xml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8;&#26009;&#31867;\2025-02\20250211-2024&#24180;&#32479;&#35745;&#20844;&#25253;&#21644;&#25552;&#35201;\2024&#24180;&#20844;&#25253;\Book3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8;&#26009;&#31867;\2025-02\20250211-2024&#24180;&#32479;&#35745;&#20844;&#25253;&#21644;&#25552;&#35201;\2024&#24180;&#20844;&#25253;\Book3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8;&#26009;&#31867;\2025-02\20250211-2024&#24180;&#32479;&#35745;&#20844;&#25253;&#21644;&#25552;&#35201;\2024&#24180;&#20844;&#25253;\Book3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8828654404647"/>
          <c:y val="0.0806082066236201"/>
          <c:w val="0.841481122942885"/>
          <c:h val="0.824828160799833"/>
        </c:manualLayout>
      </c:layout>
      <c:lineChart>
        <c:grouping val="standard"/>
        <c:varyColors val="0"/>
        <c:ser>
          <c:idx val="0"/>
          <c:order val="0"/>
          <c:tx>
            <c:strRef>
              <c:f>'[Book3.xlsx]Sheet1 (4)'!$B$1</c:f>
              <c:strCache>
                <c:ptCount val="1"/>
                <c:pt idx="0">
                  <c:v>规工增加值</c:v>
                </c:pt>
              </c:strCache>
            </c:strRef>
          </c:tx>
          <c:spPr>
            <a:ln w="31750" cap="rnd" cmpd="sng" algn="ctr">
              <a:solidFill>
                <a:srgbClr val="C0504D"/>
              </a:solidFill>
              <a:prstDash val="solid"/>
              <a:round/>
            </a:ln>
            <a:sp3d contourW="31750"/>
          </c:spPr>
          <c:marker>
            <c:spPr>
              <a:solidFill>
                <a:srgbClr val="C0504D"/>
              </a:solidFill>
              <a:ln w="9525" cap="flat" cmpd="sng" algn="ctr">
                <a:solidFill>
                  <a:srgbClr val="C0504D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0"/>
                  <c:y val="0.105050505050505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0704260904623361"/>
                  <c:y val="-0.00272039284745003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205711519845112"/>
                  <c:y val="0.00937304728181633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526379477250726"/>
                  <c:y val="0.0656113309727141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SimSun" panose="02010600030101010101" charset="-122"/>
                    <a:ea typeface="SimSun" panose="02010600030101010101" charset="-122"/>
                    <a:cs typeface="SimSun" panose="02010600030101010101" charset="-122"/>
                    <a:sym typeface="SimSun" panose="02010600030101010101" charset="-122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'[Book3.xlsx]Sheet1 (4)'!$A$7:$A$11</c:f>
              <c:strCache>
                <c:ptCount val="5"/>
                <c:pt idx="0">
                  <c:v>2020年</c:v>
                </c:pt>
                <c:pt idx="1">
                  <c:v>2021年</c:v>
                </c:pt>
                <c:pt idx="2">
                  <c:v>2022年</c:v>
                </c:pt>
                <c:pt idx="3">
                  <c:v>2023年</c:v>
                </c:pt>
                <c:pt idx="4">
                  <c:v>2024年</c:v>
                </c:pt>
              </c:strCache>
            </c:strRef>
          </c:cat>
          <c:val>
            <c:numRef>
              <c:f>'[Book3.xlsx]Sheet1 (4)'!$B$7:$B$11</c:f>
              <c:numCache>
                <c:formatCode>0.0_ </c:formatCode>
                <c:ptCount val="5"/>
                <c:pt idx="0">
                  <c:v>8</c:v>
                </c:pt>
                <c:pt idx="1" c:formatCode="General">
                  <c:v>5.4</c:v>
                </c:pt>
                <c:pt idx="2" c:formatCode="General">
                  <c:v>4.7</c:v>
                </c:pt>
                <c:pt idx="3" c:formatCode="General">
                  <c:v>8.5</c:v>
                </c:pt>
                <c:pt idx="4" c:formatCode="General">
                  <c:v>10.4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97503872"/>
        <c:axId val="97509760"/>
      </c:lineChart>
      <c:catAx>
        <c:axId val="97503872"/>
        <c:scaling>
          <c:orientation val="minMax"/>
        </c:scaling>
        <c:delete val="0"/>
        <c:axPos val="b"/>
        <c:majorTickMark val="out"/>
        <c:minorTickMark val="none"/>
        <c:tickLblPos val="nextTo"/>
        <c:spPr>
          <a:ln w="190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SimSun" panose="02010600030101010101" charset="-122"/>
                <a:ea typeface="SimSun" panose="02010600030101010101" charset="-122"/>
                <a:cs typeface="SimSun" panose="02010600030101010101" charset="-122"/>
                <a:sym typeface="SimSun" panose="02010600030101010101" charset="-122"/>
              </a:defRPr>
            </a:pPr>
          </a:p>
        </c:txPr>
        <c:crossAx val="97509760"/>
        <c:crosses val="autoZero"/>
        <c:auto val="1"/>
        <c:lblAlgn val="ctr"/>
        <c:lblOffset val="100"/>
        <c:noMultiLvlLbl val="0"/>
      </c:catAx>
      <c:valAx>
        <c:axId val="97509760"/>
        <c:scaling>
          <c:orientation val="minMax"/>
        </c:scaling>
        <c:delete val="0"/>
        <c:axPos val="l"/>
        <c:majorGridlines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b="0"/>
                  <a:t>%</a:t>
                </a:r>
                <a:endParaRPr lang="zh-CN" altLang="en-US" b="0"/>
              </a:p>
            </c:rich>
          </c:tx>
          <c:layout>
            <c:manualLayout>
              <c:xMode val="edge"/>
              <c:yMode val="edge"/>
              <c:x val="0.0793748124326935"/>
              <c:y val="0.00624869818787753"/>
            </c:manualLayout>
          </c:layout>
          <c:overlay val="0"/>
        </c:title>
        <c:numFmt formatCode="0_ " sourceLinked="0"/>
        <c:majorTickMark val="out"/>
        <c:minorTickMark val="none"/>
        <c:tickLblPos val="nextTo"/>
        <c:spPr>
          <a:ln w="190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SimSun" panose="02010600030101010101" charset="-122"/>
                <a:ea typeface="SimSun" panose="02010600030101010101" charset="-122"/>
                <a:cs typeface="SimSun" panose="02010600030101010101" charset="-122"/>
                <a:sym typeface="SimSun" panose="02010600030101010101" charset="-122"/>
              </a:defRPr>
            </a:pPr>
          </a:p>
        </c:txPr>
        <c:crossAx val="97503872"/>
        <c:crosses val="autoZero"/>
        <c:crossBetween val="between"/>
      </c:valAx>
    </c:plotArea>
    <c:plotVisOnly val="1"/>
    <c:dispBlanksAs val="gap"/>
    <c:showDLblsOverMax val="0"/>
  </c:chart>
  <c:spPr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8828654404647"/>
          <c:y val="0.0872734846906894"/>
          <c:w val="0.841481122942885"/>
          <c:h val="0.818162882732764"/>
        </c:manualLayout>
      </c:layout>
      <c:lineChart>
        <c:grouping val="standard"/>
        <c:varyColors val="0"/>
        <c:ser>
          <c:idx val="0"/>
          <c:order val="0"/>
          <c:tx>
            <c:strRef>
              <c:f>[Book3.xlsx]Sheet1!$B$1</c:f>
              <c:strCache>
                <c:ptCount val="1"/>
                <c:pt idx="0">
                  <c:v>固定资产投资</c:v>
                </c:pt>
              </c:strCache>
            </c:strRef>
          </c:tx>
          <c:spPr>
            <a:ln w="31750" cap="rnd" cmpd="sng" algn="ctr">
              <a:solidFill>
                <a:srgbClr val="C0504D"/>
              </a:solidFill>
              <a:prstDash val="solid"/>
              <a:round/>
            </a:ln>
            <a:sp3d contourW="31750"/>
          </c:spPr>
          <c:marker>
            <c:spPr>
              <a:solidFill>
                <a:srgbClr val="C0504D"/>
              </a:solidFill>
              <a:ln w="9525" cap="flat" cmpd="sng" algn="ctr">
                <a:solidFill>
                  <a:srgbClr val="C0504D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0"/>
                  <c:y val="0.146708492969688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0457404148619613"/>
                  <c:y val="0.121212121212121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404162633107454"/>
                  <c:y val="0.0693605498854402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302516940948693"/>
                  <c:y val="-0.0312434909393876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SimSun" panose="02010600030101010101" charset="-122"/>
                    <a:ea typeface="SimSun" panose="02010600030101010101" charset="-122"/>
                    <a:cs typeface="SimSun" panose="02010600030101010101" charset="-122"/>
                    <a:sym typeface="SimSun" panose="02010600030101010101" charset="-122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[Book3.xlsx]Sheet1!$A$7:$A$11</c:f>
              <c:strCache>
                <c:ptCount val="5"/>
                <c:pt idx="0">
                  <c:v>2020年</c:v>
                </c:pt>
                <c:pt idx="1">
                  <c:v>2021年</c:v>
                </c:pt>
                <c:pt idx="2">
                  <c:v>2022年</c:v>
                </c:pt>
                <c:pt idx="3">
                  <c:v>2023年</c:v>
                </c:pt>
                <c:pt idx="4">
                  <c:v>2024年</c:v>
                </c:pt>
              </c:strCache>
            </c:strRef>
          </c:cat>
          <c:val>
            <c:numRef>
              <c:f>[Book3.xlsx]Sheet1!$B$7:$B$11</c:f>
              <c:numCache>
                <c:formatCode>General</c:formatCode>
                <c:ptCount val="5"/>
                <c:pt idx="0">
                  <c:v>7.4</c:v>
                </c:pt>
                <c:pt idx="1">
                  <c:v>9.3</c:v>
                </c:pt>
                <c:pt idx="2">
                  <c:v>9.5</c:v>
                </c:pt>
                <c:pt idx="3">
                  <c:v>0.2</c:v>
                </c:pt>
                <c:pt idx="4">
                  <c:v>0.7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97503872"/>
        <c:axId val="97509760"/>
      </c:lineChart>
      <c:catAx>
        <c:axId val="97503872"/>
        <c:scaling>
          <c:orientation val="minMax"/>
        </c:scaling>
        <c:delete val="0"/>
        <c:axPos val="b"/>
        <c:majorTickMark val="out"/>
        <c:minorTickMark val="none"/>
        <c:tickLblPos val="nextTo"/>
        <c:spPr>
          <a:ln w="190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SimSun" panose="02010600030101010101" charset="-122"/>
                <a:ea typeface="SimSun" panose="02010600030101010101" charset="-122"/>
                <a:cs typeface="SimSun" panose="02010600030101010101" charset="-122"/>
                <a:sym typeface="SimSun" panose="02010600030101010101" charset="-122"/>
              </a:defRPr>
            </a:pPr>
          </a:p>
        </c:txPr>
        <c:crossAx val="97509760"/>
        <c:crosses val="autoZero"/>
        <c:auto val="1"/>
        <c:lblAlgn val="ctr"/>
        <c:lblOffset val="100"/>
        <c:noMultiLvlLbl val="0"/>
      </c:catAx>
      <c:valAx>
        <c:axId val="97509760"/>
        <c:scaling>
          <c:orientation val="minMax"/>
        </c:scaling>
        <c:delete val="0"/>
        <c:axPos val="l"/>
        <c:majorGridlines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b="0"/>
                  <a:t>%</a:t>
                </a:r>
                <a:endParaRPr lang="zh-CN" altLang="en-US" b="0"/>
              </a:p>
            </c:rich>
          </c:tx>
          <c:layout>
            <c:manualLayout>
              <c:xMode val="edge"/>
              <c:yMode val="edge"/>
              <c:x val="0.0774387040106218"/>
              <c:y val="0.00624869818787753"/>
            </c:manualLayout>
          </c:layout>
          <c:overlay val="0"/>
        </c:title>
        <c:numFmt formatCode="0_ " sourceLinked="0"/>
        <c:majorTickMark val="out"/>
        <c:minorTickMark val="none"/>
        <c:tickLblPos val="nextTo"/>
        <c:spPr>
          <a:ln w="190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SimSun" panose="02010600030101010101" charset="-122"/>
                <a:ea typeface="SimSun" panose="02010600030101010101" charset="-122"/>
                <a:cs typeface="SimSun" panose="02010600030101010101" charset="-122"/>
                <a:sym typeface="SimSun" panose="02010600030101010101" charset="-122"/>
              </a:defRPr>
            </a:pPr>
          </a:p>
        </c:txPr>
        <c:crossAx val="97503872"/>
        <c:crosses val="autoZero"/>
        <c:crossBetween val="between"/>
      </c:valAx>
    </c:plotArea>
    <c:plotVisOnly val="1"/>
    <c:dispBlanksAs val="gap"/>
    <c:showDLblsOverMax val="0"/>
  </c:chart>
  <c:spPr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965298971402735"/>
          <c:y val="0.0911265767725098"/>
          <c:w val="0.841528201650277"/>
          <c:h val="0.81013484123532"/>
        </c:manualLayout>
      </c:layout>
      <c:lineChart>
        <c:grouping val="standard"/>
        <c:varyColors val="0"/>
        <c:ser>
          <c:idx val="0"/>
          <c:order val="0"/>
          <c:tx>
            <c:strRef>
              <c:f>'[Book3.xlsx]Sheet1 (2)'!$B$1</c:f>
              <c:strCache>
                <c:ptCount val="1"/>
                <c:pt idx="0">
                  <c:v/>
                </c:pt>
              </c:strCache>
            </c:strRef>
          </c:tx>
          <c:spPr>
            <a:ln w="28575" cap="rnd" cmpd="sng" algn="ctr">
              <a:solidFill>
                <a:srgbClr val="C00000"/>
              </a:solidFill>
              <a:prstDash val="solid"/>
              <a:round/>
            </a:ln>
          </c:spPr>
          <c:marker>
            <c:spPr>
              <a:solidFill>
                <a:srgbClr val="C00000"/>
              </a:solidFill>
              <a:ln w="9525" cap="flat" cmpd="sng" algn="ctr">
                <a:solidFill>
                  <a:srgbClr val="C00000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-0.023580513844612"/>
                  <c:y val="0.0118714802228784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0862437470386105"/>
                  <c:y val="-0.0120929993972738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150333446366"/>
                  <c:y val="0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SimSun" panose="02010600030101010101" charset="-122"/>
                    <a:ea typeface="SimSun" panose="02010600030101010101" charset="-122"/>
                    <a:cs typeface="SimSun" panose="02010600030101010101" charset="-122"/>
                    <a:sym typeface="SimSun" panose="02010600030101010101" charset="-122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'[Book3.xlsx]Sheet1 (2)'!$A$7:$A$11</c:f>
              <c:strCache>
                <c:ptCount val="5"/>
                <c:pt idx="0">
                  <c:v>2020年</c:v>
                </c:pt>
                <c:pt idx="1">
                  <c:v>2021年</c:v>
                </c:pt>
                <c:pt idx="2">
                  <c:v>2022年</c:v>
                </c:pt>
                <c:pt idx="3">
                  <c:v>2023年</c:v>
                </c:pt>
                <c:pt idx="4">
                  <c:v>2024年</c:v>
                </c:pt>
              </c:strCache>
            </c:strRef>
          </c:cat>
          <c:val>
            <c:numRef>
              <c:f>'[Book3.xlsx]Sheet1 (2)'!$B$7:$B$11</c:f>
              <c:numCache>
                <c:formatCode>General</c:formatCode>
                <c:ptCount val="5"/>
                <c:pt idx="0">
                  <c:v>-0.2</c:v>
                </c:pt>
                <c:pt idx="1">
                  <c:v>12.3</c:v>
                </c:pt>
                <c:pt idx="2">
                  <c:v>1.6</c:v>
                </c:pt>
                <c:pt idx="3">
                  <c:v>4.4</c:v>
                </c:pt>
                <c:pt idx="4">
                  <c:v>3.9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97503872"/>
        <c:axId val="97509760"/>
      </c:lineChart>
      <c:dateAx>
        <c:axId val="97503872"/>
        <c:scaling>
          <c:orientation val="minMax"/>
        </c:scaling>
        <c:delete val="0"/>
        <c:axPos val="b"/>
        <c:majorTickMark val="cross"/>
        <c:minorTickMark val="none"/>
        <c:tickLblPos val="nextTo"/>
        <c:spPr>
          <a:ln w="15875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 forceAA="0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SimSun" panose="02010600030101010101" charset="-122"/>
                <a:ea typeface="SimSun" panose="02010600030101010101" charset="-122"/>
                <a:cs typeface="SimSun" panose="02010600030101010101" charset="-122"/>
                <a:sym typeface="SimSun" panose="02010600030101010101" charset="-122"/>
              </a:defRPr>
            </a:pPr>
          </a:p>
        </c:txPr>
        <c:crossAx val="97509760"/>
        <c:crossesAt val="-5"/>
        <c:auto val="1"/>
        <c:lblAlgn val="ctr"/>
        <c:lblOffset val="100"/>
        <c:baseTimeUnit val="days"/>
      </c:dateAx>
      <c:valAx>
        <c:axId val="97509760"/>
        <c:scaling>
          <c:orientation val="minMax"/>
          <c:max val="15"/>
        </c:scaling>
        <c:delete val="0"/>
        <c:axPos val="l"/>
        <c:majorGridlines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b="0"/>
                  <a:t>%</a:t>
                </a:r>
                <a:endParaRPr lang="zh-CN" altLang="en-US" b="0"/>
              </a:p>
            </c:rich>
          </c:tx>
          <c:layout>
            <c:manualLayout>
              <c:xMode val="edge"/>
              <c:yMode val="edge"/>
              <c:x val="0.0510101031824257"/>
              <c:y val="0.00652457590256633"/>
            </c:manualLayout>
          </c:layout>
          <c:overlay val="0"/>
        </c:title>
        <c:numFmt formatCode="0_ " sourceLinked="0"/>
        <c:majorTickMark val="out"/>
        <c:minorTickMark val="none"/>
        <c:tickLblPos val="nextTo"/>
        <c:spPr>
          <a:ln w="15875" cap="flat" cmpd="sng" algn="ctr">
            <a:solidFill>
              <a:schemeClr val="tx1"/>
            </a:solidFill>
            <a:prstDash val="solid"/>
            <a:miter lim="800000"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SimSun" panose="02010600030101010101" charset="-122"/>
                <a:ea typeface="SimSun" panose="02010600030101010101" charset="-122"/>
                <a:cs typeface="SimSun" panose="02010600030101010101" charset="-122"/>
                <a:sym typeface="SimSun" panose="02010600030101010101" charset="-122"/>
              </a:defRPr>
            </a:pPr>
          </a:p>
        </c:txPr>
        <c:crossAx val="97503872"/>
        <c:crossesAt val="1"/>
        <c:crossBetween val="between"/>
        <c:majorUnit val="5"/>
      </c:valAx>
    </c:plotArea>
    <c:plotVisOnly val="1"/>
    <c:dispBlanksAs val="gap"/>
    <c:showDLblsOverMax val="0"/>
  </c:chart>
  <c:spPr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485</Words>
  <Characters>641</Characters>
  <Lines>0</Lines>
  <Paragraphs>0</Paragraphs>
  <TotalTime>10</TotalTime>
  <ScaleCrop>false</ScaleCrop>
  <LinksUpToDate>false</LinksUpToDate>
  <CharactersWithSpaces>644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2024-02-26T02:13:00Z</dcterms:created>
  <dc:creator>Administrator</dc:creator>
  <cp:lastModifiedBy>李佳欣</cp:lastModifiedBy>
  <cp:lastPrinted>2025-03-14T02:33:00Z</cp:lastPrinted>
  <dcterms:modified xsi:type="dcterms:W3CDTF">2025-07-17T01:37:13Z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648703CF96E04FA88FB044744502E0C9_13</vt:lpwstr>
  </property>
  <property fmtid="{D5CDD505-2E9C-101B-9397-08002B2CF9AE}" pid="4" name="KSOTemplateDocerSaveRecord">
    <vt:lpwstr>eyJoZGlkIjoiMjNiODRkMzI2OWEzZDdjNjVjYmM3MWNmMjFmNDc5NmYiLCJ1c2VySWQiOiIxNDgwNjM4MTQ2In0=</vt:lpwstr>
  </property>
</Properties>
</file>